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العائلة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النرجسية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Amaryllidaceae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90 </w:t>
      </w:r>
      <w:r w:rsidDel="00000000" w:rsidR="00000000" w:rsidRPr="00000000">
        <w:rPr>
          <w:sz w:val="28"/>
          <w:szCs w:val="28"/>
          <w:rtl w:val="1"/>
        </w:rPr>
        <w:t xml:space="preserve">جنس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1200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والاستوائية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أفريقيا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المتوسط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نباتات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الزينة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خنثى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6 </w:t>
      </w:r>
      <w:r w:rsidDel="00000000" w:rsidR="00000000" w:rsidRPr="00000000">
        <w:rPr>
          <w:sz w:val="28"/>
          <w:szCs w:val="28"/>
          <w:rtl w:val="1"/>
        </w:rPr>
        <w:t xml:space="preserve">والمبيض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منخفض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والميسم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أجراء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المبيض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وكل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البويضات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اعتياديا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علبة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وتزرع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تجاريا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الشالوت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ويلز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Onion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e_AlHor" w:cs="ae_AlHor" w:eastAsia="ae_AlHor" w:hAnsi="ae_AlHor"/>
          <w:b w:val="1"/>
          <w:sz w:val="28"/>
          <w:szCs w:val="28"/>
        </w:rPr>
      </w:pP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Allium cepa L.</w:t>
      </w:r>
    </w:p>
    <w:p w:rsidR="00000000" w:rsidDel="00000000" w:rsidP="00000000" w:rsidRDefault="00000000" w:rsidRPr="00000000" w14:paraId="0000000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يستهلك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يابس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والشماريخ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للنمو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المجموع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الجذري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المجموع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غالبا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متعمق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وليفي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الاتجاهات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قرصي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والبراعم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القرصي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الشمراخ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باختلاف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الأوراق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متزاحمة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القرصي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أنبوبية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نضج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بالتثخن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الأزهار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الشمراخ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تستطيل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البراعم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الشمراخ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ويصل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الشمراخ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60 – 120</w:t>
      </w:r>
      <w:r w:rsidDel="00000000" w:rsidR="00000000" w:rsidRPr="00000000">
        <w:rPr>
          <w:sz w:val="28"/>
          <w:szCs w:val="28"/>
          <w:rtl w:val="1"/>
        </w:rPr>
        <w:t xml:space="preserve">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50 – 2000 </w:t>
      </w:r>
      <w:r w:rsidDel="00000000" w:rsidR="00000000" w:rsidRPr="00000000">
        <w:rPr>
          <w:sz w:val="28"/>
          <w:szCs w:val="28"/>
          <w:rtl w:val="1"/>
        </w:rPr>
        <w:t xml:space="preserve">زهرة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ويغلف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شفاف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Spathaceous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Bracts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ويتمزق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الملائمة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البنفسجي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خنثى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والاسدية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عددها</w:t>
      </w:r>
      <w:r w:rsidDel="00000000" w:rsidR="00000000" w:rsidRPr="00000000">
        <w:rPr>
          <w:sz w:val="28"/>
          <w:szCs w:val="28"/>
          <w:rtl w:val="1"/>
        </w:rPr>
        <w:t xml:space="preserve"> 6 </w:t>
      </w:r>
      <w:r w:rsidDel="00000000" w:rsidR="00000000" w:rsidRPr="00000000">
        <w:rPr>
          <w:sz w:val="28"/>
          <w:szCs w:val="28"/>
          <w:rtl w:val="1"/>
        </w:rPr>
        <w:t xml:space="preserve">وتوجد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محيطين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اللقاح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غرف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2 </w:t>
      </w:r>
      <w:r w:rsidDel="00000000" w:rsidR="00000000" w:rsidRPr="00000000">
        <w:rPr>
          <w:sz w:val="28"/>
          <w:szCs w:val="28"/>
          <w:rtl w:val="1"/>
        </w:rPr>
        <w:t xml:space="preserve">بويضة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والميسم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التلقيح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بواسطة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الحشرات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بواسطة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الحشرات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واعتياديا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5</w:t>
      </w:r>
      <w:r w:rsidDel="00000000" w:rsidR="00000000" w:rsidRPr="00000000">
        <w:rPr>
          <w:sz w:val="28"/>
          <w:szCs w:val="28"/>
          <w:rtl w:val="1"/>
        </w:rPr>
        <w:t xml:space="preserve">ملم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اللقاح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يومين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0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الأصناف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الأجنبية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الضوئية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لإنتاج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16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نهار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قابليتها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للتخزين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احتوائها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الذائبة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Pungency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البعشيقي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محافظة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نينوى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منطقة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بعشيقة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المزدوجة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الخضري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ويحتاج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4.5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للنضج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زراعة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الفسقة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متطاولة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برتقالي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وقابلية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للتخزين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الأزهار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الأبيض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ويزرع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بكثرة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أنتاج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ومتوسط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وينضج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حزيران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وتموز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المزدوجة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النباتات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المزهرة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متوسطة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للخزن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الأحمر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ويزرع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ويتحمل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المزدوجة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النباتات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المزهرة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متطاولة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ويحتاج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4.5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للنضج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وايت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White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swann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ويزرع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تنضج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وشكلها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منبسط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Texas Early Grano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ذهبي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والأبصال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يقاوم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التزهير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نجاحه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36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الثوم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Garlic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360"/>
        <w:jc w:val="center"/>
        <w:rPr>
          <w:rFonts w:ascii="ae_AlHor" w:cs="ae_AlHor" w:eastAsia="ae_AlHor" w:hAnsi="ae_AlHor"/>
          <w:b w:val="1"/>
          <w:sz w:val="28"/>
          <w:szCs w:val="28"/>
        </w:rPr>
      </w:pP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Allium sativum L.</w:t>
      </w:r>
    </w:p>
    <w:p w:rsidR="00000000" w:rsidDel="00000000" w:rsidP="00000000" w:rsidRDefault="00000000" w:rsidRPr="00000000" w14:paraId="0000001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الشتوية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يستعمل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طازجا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باودر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مجففة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عصير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المجموع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الجذري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البصيلات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المسماة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بافصوص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ومجموع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الثوم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3 – 15 </w:t>
      </w:r>
      <w:r w:rsidDel="00000000" w:rsidR="00000000" w:rsidRPr="00000000">
        <w:rPr>
          <w:sz w:val="28"/>
          <w:szCs w:val="28"/>
          <w:rtl w:val="1"/>
        </w:rPr>
        <w:t xml:space="preserve">فص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ويغلف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شفاف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قرنفلي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حرشفية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الخازنة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بخزن</w:t>
      </w:r>
      <w:r w:rsidDel="00000000" w:rsidR="00000000" w:rsidRPr="00000000">
        <w:rPr>
          <w:sz w:val="28"/>
          <w:szCs w:val="28"/>
          <w:rtl w:val="1"/>
        </w:rPr>
        <w:t xml:space="preserve"> 80%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الغذائية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الخازنة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الأوراق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زورقية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ثخينة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الأزهار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مكونا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الشمراخ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الشمراخ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كاذبة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القرمزي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وعميقة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بذورا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البصيلات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المسماة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بالبلابل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0"/>
        </w:rPr>
        <w:t xml:space="preserve">Bulbets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الياباني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البلابل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الأصناف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أجريت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زراعته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صغيرة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والرائحة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المصري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فصوصه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النضج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الأرجواني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الايطالي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مصفرة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الياباني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متأخر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النضج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الكراث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شوشة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720"/>
        <w:jc w:val="center"/>
        <w:rPr>
          <w:rFonts w:ascii="ae_AlHor" w:cs="ae_AlHor" w:eastAsia="ae_AlHor" w:hAnsi="ae_AlHo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e_AlHor" w:cs="ae_AlHor" w:eastAsia="ae_AlHor" w:hAnsi="ae_AlHo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Allium Porrum 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يزرع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نطاق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أوراقه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واعتياديا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حشات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سنويا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المجموع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الجذري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الأوراق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تلتف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وتتثخن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الأزهار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شمراخ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زهري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كاذبة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اعتياديا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بواسطة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الذاتي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البصل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الأصناف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وأوراقه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وعرضها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sectPr>
      <w:pgSz w:h="16838" w:w="11906"/>
      <w:pgMar w:bottom="993" w:top="709" w:left="709" w:right="707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e_AlHo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63FAD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147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2020-05-17T14:44:00Z</dcterms:created>
  <dc:creator>PHOTO</dc:creator>
</cp:coreProperties>
</file>